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REMOVE THIS PAGE BEFORE FINAL SUBMISSION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Instructions: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ind w:left="720" w:hanging="360"/>
        <w:rPr/>
      </w:pPr>
      <w:r w:rsidDel="00000000" w:rsidR="00000000" w:rsidRPr="00000000">
        <w:rPr>
          <w:rtl w:val="0"/>
        </w:rPr>
        <w:t xml:space="preserve">Read through and remove / update any sections you do not agree with.</w:t>
      </w:r>
      <w:r w:rsidDel="00000000" w:rsidR="00000000" w:rsidRPr="00000000">
        <w:rPr>
          <w:rtl w:val="0"/>
        </w:rPr>
      </w:r>
    </w:p>
    <w:p w:rsidR="00000000" w:rsidDel="00000000" w:rsidP="00000000" w:rsidRDefault="00000000" w:rsidRPr="00000000" w14:paraId="00000006">
      <w:pPr>
        <w:numPr>
          <w:ilvl w:val="0"/>
          <w:numId w:val="2"/>
        </w:numPr>
        <w:ind w:left="720" w:hanging="360"/>
        <w:rPr>
          <w:b w:val="1"/>
        </w:rPr>
      </w:pPr>
      <w:r w:rsidDel="00000000" w:rsidR="00000000" w:rsidRPr="00000000">
        <w:rPr>
          <w:b w:val="1"/>
          <w:rtl w:val="0"/>
        </w:rPr>
        <w:t xml:space="preserve">Proof read it.</w:t>
      </w:r>
    </w:p>
    <w:p w:rsidR="00000000" w:rsidDel="00000000" w:rsidP="00000000" w:rsidRDefault="00000000" w:rsidRPr="00000000" w14:paraId="00000007">
      <w:pPr>
        <w:numPr>
          <w:ilvl w:val="0"/>
          <w:numId w:val="2"/>
        </w:numPr>
        <w:ind w:left="720" w:hanging="360"/>
        <w:rPr/>
      </w:pPr>
      <w:r w:rsidDel="00000000" w:rsidR="00000000" w:rsidRPr="00000000">
        <w:rPr>
          <w:rtl w:val="0"/>
        </w:rPr>
        <w:t xml:space="preserve">Complete your contact details, sign and date it.</w:t>
      </w:r>
      <w:r w:rsidDel="00000000" w:rsidR="00000000" w:rsidRPr="00000000">
        <w:rPr>
          <w:rtl w:val="0"/>
        </w:rPr>
      </w:r>
    </w:p>
    <w:p w:rsidR="00000000" w:rsidDel="00000000" w:rsidP="00000000" w:rsidRDefault="00000000" w:rsidRPr="00000000" w14:paraId="00000008">
      <w:pPr>
        <w:numPr>
          <w:ilvl w:val="0"/>
          <w:numId w:val="2"/>
        </w:numPr>
        <w:ind w:left="720" w:hanging="360"/>
        <w:rPr/>
      </w:pPr>
      <w:r w:rsidDel="00000000" w:rsidR="00000000" w:rsidRPr="00000000">
        <w:rPr>
          <w:rtl w:val="0"/>
        </w:rPr>
        <w:t xml:space="preserve">If uploading then go to: </w:t>
      </w:r>
      <w:hyperlink r:id="rId6">
        <w:r w:rsidDel="00000000" w:rsidR="00000000" w:rsidRPr="00000000">
          <w:rPr>
            <w:color w:val="1155cc"/>
            <w:u w:val="single"/>
            <w:rtl w:val="0"/>
          </w:rPr>
          <w:t xml:space="preserve">https://www.acma.gov.au/form/consultation-test-beta?source_entity_type=node&amp;source_entity_id=3055</w:t>
        </w:r>
      </w:hyperlink>
      <w:r w:rsidDel="00000000" w:rsidR="00000000" w:rsidRPr="00000000">
        <w:rPr>
          <w:rtl w:val="0"/>
        </w:rPr>
        <w:t xml:space="preserve"> and upload your completed document.</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tl w:val="0"/>
        </w:rPr>
        <w:t xml:space="preserve">If posting then send to:</w:t>
      </w:r>
      <w:r w:rsidDel="00000000" w:rsidR="00000000" w:rsidRPr="00000000">
        <w:rPr>
          <w:rtl w:val="0"/>
        </w:rPr>
      </w:r>
    </w:p>
    <w:p w:rsidR="00000000" w:rsidDel="00000000" w:rsidP="00000000" w:rsidRDefault="00000000" w:rsidRPr="00000000" w14:paraId="0000000A">
      <w:pPr>
        <w:ind w:left="1440" w:firstLine="0"/>
        <w:rPr/>
      </w:pPr>
      <w:r w:rsidDel="00000000" w:rsidR="00000000" w:rsidRPr="00000000">
        <w:rPr>
          <w:rtl w:val="0"/>
        </w:rPr>
        <w:t xml:space="preserve">The Manager</w:t>
      </w:r>
    </w:p>
    <w:p w:rsidR="00000000" w:rsidDel="00000000" w:rsidP="00000000" w:rsidRDefault="00000000" w:rsidRPr="00000000" w14:paraId="0000000B">
      <w:pPr>
        <w:ind w:left="1440" w:firstLine="0"/>
        <w:rPr/>
      </w:pPr>
      <w:r w:rsidDel="00000000" w:rsidR="00000000" w:rsidRPr="00000000">
        <w:rPr>
          <w:rtl w:val="0"/>
        </w:rPr>
        <w:t xml:space="preserve">Spectrum Licensing Policy Section</w:t>
      </w:r>
    </w:p>
    <w:p w:rsidR="00000000" w:rsidDel="00000000" w:rsidP="00000000" w:rsidRDefault="00000000" w:rsidRPr="00000000" w14:paraId="0000000C">
      <w:pPr>
        <w:ind w:left="1440" w:firstLine="0"/>
        <w:rPr/>
      </w:pPr>
      <w:r w:rsidDel="00000000" w:rsidR="00000000" w:rsidRPr="00000000">
        <w:rPr>
          <w:rtl w:val="0"/>
        </w:rPr>
        <w:t xml:space="preserve">Australian Communications and Media Authority</w:t>
      </w:r>
    </w:p>
    <w:p w:rsidR="00000000" w:rsidDel="00000000" w:rsidP="00000000" w:rsidRDefault="00000000" w:rsidRPr="00000000" w14:paraId="0000000D">
      <w:pPr>
        <w:ind w:left="1440" w:firstLine="0"/>
        <w:rPr/>
      </w:pPr>
      <w:r w:rsidDel="00000000" w:rsidR="00000000" w:rsidRPr="00000000">
        <w:rPr>
          <w:rtl w:val="0"/>
        </w:rPr>
        <w:t xml:space="preserve">PO Box 13112</w:t>
      </w:r>
    </w:p>
    <w:p w:rsidR="00000000" w:rsidDel="00000000" w:rsidP="00000000" w:rsidRDefault="00000000" w:rsidRPr="00000000" w14:paraId="0000000E">
      <w:pPr>
        <w:ind w:left="1440" w:firstLine="0"/>
        <w:rPr/>
      </w:pPr>
      <w:r w:rsidDel="00000000" w:rsidR="00000000" w:rsidRPr="00000000">
        <w:rPr>
          <w:rtl w:val="0"/>
        </w:rPr>
        <w:t xml:space="preserve">Law Courts</w:t>
      </w:r>
    </w:p>
    <w:p w:rsidR="00000000" w:rsidDel="00000000" w:rsidP="00000000" w:rsidRDefault="00000000" w:rsidRPr="00000000" w14:paraId="0000000F">
      <w:pPr>
        <w:ind w:left="1440" w:firstLine="0"/>
        <w:rPr/>
      </w:pPr>
      <w:r w:rsidDel="00000000" w:rsidR="00000000" w:rsidRPr="00000000">
        <w:rPr>
          <w:rtl w:val="0"/>
        </w:rPr>
        <w:t xml:space="preserve">Melbourne VIC 8010</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Please note deadline is COB </w:t>
      </w:r>
      <w:r w:rsidDel="00000000" w:rsidR="00000000" w:rsidRPr="00000000">
        <w:rPr>
          <w:b w:val="1"/>
          <w:rtl w:val="0"/>
        </w:rPr>
        <w:t xml:space="preserve">2 April 2021</w:t>
      </w:r>
      <w:r w:rsidDel="00000000" w:rsidR="00000000" w:rsidRPr="00000000">
        <w:rPr>
          <w:rtl w:val="0"/>
        </w:rPr>
        <w:t xml:space="preserve"> for submissions.</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Thanks for your support of this VERY important consultation that will shape amateur radio for the future.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73, WIA Board and Spectrum Strategy Committee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REMOVE THIS PAGE BEFORE FINAL SUBMISSION</w:t>
      </w:r>
    </w:p>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 The Manager</w:t>
      </w:r>
    </w:p>
    <w:p w:rsidR="00000000" w:rsidDel="00000000" w:rsidP="00000000" w:rsidRDefault="00000000" w:rsidRPr="00000000" w14:paraId="00000019">
      <w:pPr>
        <w:rPr/>
      </w:pPr>
      <w:r w:rsidDel="00000000" w:rsidR="00000000" w:rsidRPr="00000000">
        <w:rPr>
          <w:rtl w:val="0"/>
        </w:rPr>
        <w:t xml:space="preserve">Spectrum Licensing Policy Section</w:t>
      </w:r>
    </w:p>
    <w:p w:rsidR="00000000" w:rsidDel="00000000" w:rsidP="00000000" w:rsidRDefault="00000000" w:rsidRPr="00000000" w14:paraId="0000001A">
      <w:pPr>
        <w:rPr/>
      </w:pPr>
      <w:r w:rsidDel="00000000" w:rsidR="00000000" w:rsidRPr="00000000">
        <w:rPr>
          <w:rtl w:val="0"/>
        </w:rPr>
        <w:t xml:space="preserve">Australian Communications and Media Authority</w:t>
      </w:r>
    </w:p>
    <w:p w:rsidR="00000000" w:rsidDel="00000000" w:rsidP="00000000" w:rsidRDefault="00000000" w:rsidRPr="00000000" w14:paraId="0000001B">
      <w:pPr>
        <w:rPr/>
      </w:pPr>
      <w:r w:rsidDel="00000000" w:rsidR="00000000" w:rsidRPr="00000000">
        <w:rPr>
          <w:rtl w:val="0"/>
        </w:rPr>
        <w:t xml:space="preserve">PO Box 13112</w:t>
      </w:r>
    </w:p>
    <w:p w:rsidR="00000000" w:rsidDel="00000000" w:rsidP="00000000" w:rsidRDefault="00000000" w:rsidRPr="00000000" w14:paraId="0000001C">
      <w:pPr>
        <w:rPr/>
      </w:pPr>
      <w:r w:rsidDel="00000000" w:rsidR="00000000" w:rsidRPr="00000000">
        <w:rPr>
          <w:rtl w:val="0"/>
        </w:rPr>
        <w:t xml:space="preserve">Law Courts, Melbourne VIC 8010</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Re: Review of non-assigned amateur and outpost regulatory arrangements – consultation 01/2021</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Dear Spectrum Licensing Policy Section Manager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Thank you for the opportunity to comment on the Review of Non-assigned Amateur and Outpost Regulatory Arrangements – Consultation 01/2021. I provide the following responses to the consultation paper: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 have considered the following options under review:</w:t>
      </w:r>
    </w:p>
    <w:p w:rsidR="00000000" w:rsidDel="00000000" w:rsidP="00000000" w:rsidRDefault="00000000" w:rsidRPr="00000000" w14:paraId="00000025">
      <w:pPr>
        <w:numPr>
          <w:ilvl w:val="0"/>
          <w:numId w:val="1"/>
        </w:numPr>
        <w:spacing w:before="200" w:line="276" w:lineRule="auto"/>
        <w:ind w:left="720" w:hanging="360"/>
        <w:rPr>
          <w:u w:val="none"/>
        </w:rPr>
      </w:pPr>
      <w:r w:rsidDel="00000000" w:rsidR="00000000" w:rsidRPr="00000000">
        <w:rPr>
          <w:b w:val="1"/>
          <w:rtl w:val="0"/>
        </w:rPr>
        <w:t xml:space="preserve">Option A</w:t>
      </w:r>
      <w:r w:rsidDel="00000000" w:rsidR="00000000" w:rsidRPr="00000000">
        <w:rPr>
          <w:rtl w:val="0"/>
        </w:rPr>
        <w:t xml:space="preserve">: keep the existing apparatus licensing arrangements and licence conditions.</w:t>
      </w:r>
    </w:p>
    <w:p w:rsidR="00000000" w:rsidDel="00000000" w:rsidP="00000000" w:rsidRDefault="00000000" w:rsidRPr="00000000" w14:paraId="00000026">
      <w:pPr>
        <w:numPr>
          <w:ilvl w:val="0"/>
          <w:numId w:val="1"/>
        </w:numPr>
        <w:spacing w:after="0" w:before="200" w:line="276" w:lineRule="auto"/>
        <w:ind w:left="720" w:hanging="360"/>
        <w:rPr>
          <w:u w:val="none"/>
        </w:rPr>
      </w:pPr>
      <w:r w:rsidDel="00000000" w:rsidR="00000000" w:rsidRPr="00000000">
        <w:rPr>
          <w:b w:val="1"/>
          <w:rtl w:val="0"/>
        </w:rPr>
        <w:t xml:space="preserve">Option B</w:t>
      </w:r>
      <w:r w:rsidDel="00000000" w:rsidR="00000000" w:rsidRPr="00000000">
        <w:rPr>
          <w:rtl w:val="0"/>
        </w:rPr>
        <w:t xml:space="preserve">: simplify the current licensing arrangements and licence conditions by amending the amateur LCD.</w:t>
      </w:r>
    </w:p>
    <w:p w:rsidR="00000000" w:rsidDel="00000000" w:rsidP="00000000" w:rsidRDefault="00000000" w:rsidRPr="00000000" w14:paraId="00000027">
      <w:pPr>
        <w:numPr>
          <w:ilvl w:val="0"/>
          <w:numId w:val="1"/>
        </w:numPr>
        <w:spacing w:before="200" w:line="276" w:lineRule="auto"/>
        <w:ind w:left="720" w:hanging="360"/>
        <w:rPr>
          <w:u w:val="none"/>
        </w:rPr>
      </w:pPr>
      <w:r w:rsidDel="00000000" w:rsidR="00000000" w:rsidRPr="00000000">
        <w:rPr>
          <w:b w:val="1"/>
          <w:rtl w:val="0"/>
        </w:rPr>
        <w:t xml:space="preserve">Option C</w:t>
      </w:r>
      <w:r w:rsidDel="00000000" w:rsidR="00000000" w:rsidRPr="00000000">
        <w:rPr>
          <w:rtl w:val="0"/>
        </w:rPr>
        <w:t xml:space="preserve">: transition to class licensing arrangements for non-assigned amateur stations, with assigned amateur stations continuing to be authorised under apparatus licensing.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 have concerns that the ACMA’s stated purpose of “preserving the current operational utility for licensees” has not been reflected into the proposed Class Licence and that amateur radio operators will be disadvantaged in the future by moving to the Class Licence as currently proposed. Therefore: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720" w:firstLine="0"/>
        <w:rPr>
          <w:b w:val="1"/>
          <w:u w:val="single"/>
        </w:rPr>
      </w:pPr>
      <w:r w:rsidDel="00000000" w:rsidR="00000000" w:rsidRPr="00000000">
        <w:rPr>
          <w:b w:val="1"/>
          <w:rtl w:val="0"/>
        </w:rPr>
        <w:t xml:space="preserve">I only support </w:t>
      </w:r>
      <w:r w:rsidDel="00000000" w:rsidR="00000000" w:rsidRPr="00000000">
        <w:rPr>
          <w:b w:val="1"/>
          <w:u w:val="single"/>
          <w:rtl w:val="0"/>
        </w:rPr>
        <w:t xml:space="preserve">Option A.</w:t>
      </w:r>
      <w:r w:rsidDel="00000000" w:rsidR="00000000" w:rsidRPr="00000000">
        <w:rPr>
          <w:b w:val="1"/>
          <w:rtl w:val="0"/>
        </w:rPr>
        <w:t xml:space="preserve">  I do not support Options B or C as presented.</w:t>
      </w:r>
      <w:r w:rsidDel="00000000" w:rsidR="00000000" w:rsidRPr="00000000">
        <w:rPr>
          <w:rtl w:val="0"/>
        </w:rPr>
      </w:r>
    </w:p>
    <w:p w:rsidR="00000000" w:rsidDel="00000000" w:rsidP="00000000" w:rsidRDefault="00000000" w:rsidRPr="00000000" w14:paraId="0000002C">
      <w:pPr>
        <w:ind w:left="720" w:firstLine="0"/>
        <w:rPr>
          <w:b w:val="1"/>
          <w:u w:val="single"/>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If the ACMA is prepared to modify the proposed Class Licence to address the concerns identified in the WIA submission, then I may be prepared to support a class licence for amateur radio in future.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In regards to the other issues and questions raised, I have read the WIA’s response to the ACMA Review Consultation and I support all the responses and recommendations presented by the WIA in their response.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Yours sincerely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&lt;name&gt; &lt;callsign&gt;</w:t>
      </w:r>
    </w:p>
    <w:p w:rsidR="00000000" w:rsidDel="00000000" w:rsidP="00000000" w:rsidRDefault="00000000" w:rsidRPr="00000000" w14:paraId="00000035">
      <w:pPr>
        <w:rPr/>
      </w:pPr>
      <w:r w:rsidDel="00000000" w:rsidR="00000000" w:rsidRPr="00000000">
        <w:rPr>
          <w:rtl w:val="0"/>
        </w:rPr>
        <w:t xml:space="preserve">&lt;address&gt;</w:t>
      </w:r>
    </w:p>
    <w:p w:rsidR="00000000" w:rsidDel="00000000" w:rsidP="00000000" w:rsidRDefault="00000000" w:rsidRPr="00000000" w14:paraId="00000036">
      <w:pPr>
        <w:rPr/>
      </w:pPr>
      <w:r w:rsidDel="00000000" w:rsidR="00000000" w:rsidRPr="00000000">
        <w:rPr>
          <w:rtl w:val="0"/>
        </w:rPr>
        <w:t xml:space="preserve">&lt;email&gt;</w:t>
      </w:r>
    </w:p>
    <w:p w:rsidR="00000000" w:rsidDel="00000000" w:rsidP="00000000" w:rsidRDefault="00000000" w:rsidRPr="00000000" w14:paraId="00000037">
      <w:pPr>
        <w:rPr/>
      </w:pPr>
      <w:r w:rsidDel="00000000" w:rsidR="00000000" w:rsidRPr="00000000">
        <w:rPr>
          <w:rtl w:val="0"/>
        </w:rPr>
        <w:t xml:space="preserve">?? March 2021.</w:t>
      </w:r>
    </w:p>
    <w:sectPr>
      <w:headerReference r:id="rId7" w:type="first"/>
      <w:footerReference r:id="rId8" w:type="default"/>
      <w:footerReference r:id="rId9" w:type="firs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acma.gov.au/form/consultation-test-beta?source_entity_type=node&amp;source_entity_id=3055"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